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40" w:after="320"/>
        <w:jc w:val="center"/>
        <w:rPr>
          <w:sz w:val="56"/>
          <w:szCs w:val="44"/>
        </w:rPr>
      </w:pPr>
      <w:bookmarkStart w:id="0" w:name="__RefHeading___Toc3571_1275695476"/>
      <w:bookmarkStart w:id="1" w:name="_Toc469574878"/>
      <w:bookmarkEnd w:id="0"/>
      <w:r>
        <w:rPr>
          <w:sz w:val="56"/>
          <w:szCs w:val="4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-132715</wp:posOffset>
            </wp:positionH>
            <wp:positionV relativeFrom="paragraph">
              <wp:posOffset>16510</wp:posOffset>
            </wp:positionV>
            <wp:extent cx="622300" cy="51879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2733040</wp:posOffset>
            </wp:positionH>
            <wp:positionV relativeFrom="paragraph">
              <wp:posOffset>-436245</wp:posOffset>
            </wp:positionV>
            <wp:extent cx="622300" cy="518795"/>
            <wp:effectExtent l="0" t="0" r="0" b="0"/>
            <wp:wrapSquare wrapText="largest"/>
            <wp:docPr id="2" name="Image1 Copy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 Copy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Qualities of the </w:t>
      </w:r>
      <w:bookmarkEnd w:id="1"/>
      <w:r>
        <w:rPr>
          <w:sz w:val="56"/>
          <w:szCs w:val="44"/>
        </w:rPr>
        <w:t xml:space="preserve">Triple 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5336540</wp:posOffset>
            </wp:positionH>
            <wp:positionV relativeFrom="paragraph">
              <wp:posOffset>95250</wp:posOffset>
            </wp:positionV>
            <wp:extent cx="622300" cy="518795"/>
            <wp:effectExtent l="0" t="0" r="0" b="0"/>
            <wp:wrapSquare wrapText="largest"/>
            <wp:docPr id="3" name="Image1 Copy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 Copy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  <w:szCs w:val="44"/>
        </w:rPr>
        <w:t>Gem</w:t>
      </w:r>
    </w:p>
    <w:p>
      <w:pPr>
        <w:pStyle w:val="Pali"/>
        <w:bidi w:val="0"/>
        <w:jc w:val="left"/>
        <w:rPr/>
      </w:pPr>
      <w:r>
        <w:rPr>
          <w:rStyle w:val="HeadNumbers"/>
          <w:sz w:val="32"/>
        </w:rPr>
        <w:t xml:space="preserve">1. </w:t>
      </w:r>
      <w:r>
        <w:rPr>
          <w:sz w:val="32"/>
        </w:rPr>
        <w:t xml:space="preserve">Iti pi so bhagavā, araham, </w:t>
      </w:r>
      <w:r>
        <w:rPr>
          <w:rStyle w:val="HeadNumbers"/>
          <w:sz w:val="32"/>
        </w:rPr>
        <w:t xml:space="preserve">2. </w:t>
      </w:r>
      <w:r>
        <w:rPr>
          <w:sz w:val="32"/>
        </w:rPr>
        <w:t xml:space="preserve">sammā-sam-buddho, </w:t>
        <w:br/>
      </w:r>
      <w:r>
        <w:rPr>
          <w:rStyle w:val="HeadNumbers"/>
          <w:sz w:val="32"/>
        </w:rPr>
        <w:t xml:space="preserve">3. </w:t>
      </w:r>
      <w:r>
        <w:rPr>
          <w:sz w:val="32"/>
        </w:rPr>
        <w:t xml:space="preserve">vijjā-carana-sampanno, </w:t>
      </w:r>
      <w:r>
        <w:rPr>
          <w:rStyle w:val="HeadNumbers"/>
          <w:sz w:val="32"/>
        </w:rPr>
        <w:t xml:space="preserve">4. </w:t>
      </w:r>
      <w:r>
        <w:rPr>
          <w:sz w:val="32"/>
        </w:rPr>
        <w:t xml:space="preserve">sugato, </w:t>
      </w:r>
      <w:r>
        <w:rPr>
          <w:rStyle w:val="HeadNumbers"/>
          <w:sz w:val="32"/>
        </w:rPr>
        <w:t xml:space="preserve">5. </w:t>
      </w:r>
      <w:r>
        <w:rPr>
          <w:sz w:val="32"/>
        </w:rPr>
        <w:t xml:space="preserve">lokavidū, </w:t>
      </w:r>
      <w:r>
        <w:rPr>
          <w:rStyle w:val="HeadNumbers"/>
          <w:sz w:val="32"/>
        </w:rPr>
        <w:t xml:space="preserve">6. </w:t>
      </w:r>
      <w:r>
        <w:rPr>
          <w:sz w:val="32"/>
        </w:rPr>
        <w:t xml:space="preserve">anuttaro </w:t>
        <w:br/>
        <w:t xml:space="preserve">purisa-damma-sārathi, </w:t>
      </w:r>
      <w:r>
        <w:rPr>
          <w:rStyle w:val="HeadNumbers"/>
          <w:sz w:val="32"/>
        </w:rPr>
        <w:t xml:space="preserve">7. </w:t>
      </w:r>
      <w:r>
        <w:rPr>
          <w:sz w:val="32"/>
        </w:rPr>
        <w:t xml:space="preserve">satthā deva-manussānam, </w:t>
      </w:r>
      <w:r>
        <w:rPr>
          <w:rStyle w:val="HeadNumbers"/>
          <w:sz w:val="32"/>
        </w:rPr>
        <w:t xml:space="preserve">8. </w:t>
      </w:r>
      <w:r>
        <w:rPr>
          <w:sz w:val="32"/>
        </w:rPr>
        <w:t xml:space="preserve">buddho, </w:t>
        <w:br/>
      </w:r>
      <w:r>
        <w:rPr>
          <w:rStyle w:val="HeadNumbers"/>
          <w:sz w:val="32"/>
        </w:rPr>
        <w:t xml:space="preserve">9. </w:t>
      </w:r>
      <w:r>
        <w:rPr>
          <w:sz w:val="32"/>
        </w:rPr>
        <w:t>bhagavā ti.</w:t>
      </w:r>
    </w:p>
    <w:p>
      <w:pPr>
        <w:pStyle w:val="English"/>
        <w:bidi w:val="0"/>
        <w:jc w:val="left"/>
        <w:rPr/>
      </w:pPr>
      <w:r>
        <w:rPr>
          <w:rStyle w:val="HeadNumbers"/>
          <w:rFonts w:ascii="Tahoma" w:hAnsi="Tahoma"/>
          <w:sz w:val="28"/>
          <w:szCs w:val="24"/>
        </w:rPr>
        <w:t xml:space="preserve">1. </w:t>
      </w:r>
      <w:r>
        <w:rPr>
          <w:rFonts w:ascii="Tahoma" w:hAnsi="Tahoma"/>
          <w:sz w:val="28"/>
          <w:szCs w:val="24"/>
        </w:rPr>
        <w:t xml:space="preserve">Such Indeed is the Blessed One, Arahant, worthy one, </w:t>
      </w:r>
      <w:r>
        <w:rPr>
          <w:rStyle w:val="HeadNumbers"/>
          <w:rFonts w:ascii="Tahoma" w:hAnsi="Tahoma"/>
          <w:sz w:val="28"/>
          <w:szCs w:val="24"/>
        </w:rPr>
        <w:t xml:space="preserve">2. </w:t>
      </w:r>
      <w:r>
        <w:rPr>
          <w:rFonts w:ascii="Tahoma" w:hAnsi="Tahoma"/>
          <w:sz w:val="28"/>
          <w:szCs w:val="24"/>
        </w:rPr>
        <w:t xml:space="preserve">supremely enlightened, </w:t>
      </w:r>
      <w:r>
        <w:rPr>
          <w:rStyle w:val="HeadNumbers"/>
          <w:rFonts w:ascii="Tahoma" w:hAnsi="Tahoma"/>
          <w:sz w:val="28"/>
          <w:szCs w:val="24"/>
        </w:rPr>
        <w:t xml:space="preserve">3. </w:t>
      </w:r>
      <w:r>
        <w:rPr>
          <w:rFonts w:ascii="Tahoma" w:hAnsi="Tahoma"/>
          <w:sz w:val="28"/>
          <w:szCs w:val="24"/>
        </w:rPr>
        <w:t xml:space="preserve">endowed with knowledge and virtue, </w:t>
      </w:r>
      <w:r>
        <w:rPr>
          <w:rStyle w:val="HeadNumbers"/>
          <w:rFonts w:ascii="Tahoma" w:hAnsi="Tahoma"/>
          <w:sz w:val="28"/>
          <w:szCs w:val="24"/>
        </w:rPr>
        <w:t xml:space="preserve">4. </w:t>
      </w:r>
      <w:r>
        <w:rPr>
          <w:rFonts w:ascii="Tahoma" w:hAnsi="Tahoma"/>
          <w:sz w:val="28"/>
          <w:szCs w:val="24"/>
        </w:rPr>
        <w:t xml:space="preserve">follower of the Noble Path, </w:t>
      </w:r>
      <w:r>
        <w:rPr>
          <w:rStyle w:val="HeadNumbers"/>
          <w:rFonts w:ascii="Tahoma" w:hAnsi="Tahoma"/>
          <w:sz w:val="28"/>
          <w:szCs w:val="24"/>
        </w:rPr>
        <w:t xml:space="preserve">5. </w:t>
      </w:r>
      <w:r>
        <w:rPr>
          <w:rFonts w:ascii="Tahoma" w:hAnsi="Tahoma"/>
          <w:sz w:val="28"/>
          <w:szCs w:val="24"/>
        </w:rPr>
        <w:t xml:space="preserve">knower of worlds, </w:t>
      </w:r>
      <w:r>
        <w:rPr>
          <w:rStyle w:val="HeadNumbers"/>
          <w:rFonts w:ascii="Tahoma" w:hAnsi="Tahoma"/>
          <w:sz w:val="28"/>
          <w:szCs w:val="24"/>
        </w:rPr>
        <w:t xml:space="preserve">6. </w:t>
      </w:r>
      <w:r>
        <w:rPr>
          <w:rFonts w:ascii="Tahoma" w:hAnsi="Tahoma"/>
          <w:sz w:val="28"/>
          <w:szCs w:val="24"/>
        </w:rPr>
        <w:t xml:space="preserve">the peerless trainer of persons, </w:t>
        <w:br/>
      </w:r>
      <w:r>
        <w:rPr>
          <w:rStyle w:val="HeadNumbers"/>
          <w:rFonts w:ascii="Tahoma" w:hAnsi="Tahoma"/>
          <w:sz w:val="28"/>
          <w:szCs w:val="24"/>
        </w:rPr>
        <w:t xml:space="preserve">7. </w:t>
      </w:r>
      <w:r>
        <w:rPr>
          <w:rFonts w:ascii="Tahoma" w:hAnsi="Tahoma"/>
          <w:sz w:val="28"/>
          <w:szCs w:val="24"/>
        </w:rPr>
        <w:t xml:space="preserve">teacher of gods and humans, </w:t>
      </w:r>
      <w:r>
        <w:rPr>
          <w:rStyle w:val="HeadNumbers"/>
          <w:rFonts w:ascii="Tahoma" w:hAnsi="Tahoma"/>
          <w:sz w:val="28"/>
          <w:szCs w:val="24"/>
        </w:rPr>
        <w:t xml:space="preserve">8. </w:t>
      </w:r>
      <w:r>
        <w:rPr>
          <w:rFonts w:ascii="Tahoma" w:hAnsi="Tahoma"/>
          <w:sz w:val="28"/>
          <w:szCs w:val="24"/>
        </w:rPr>
        <w:t xml:space="preserve">the Enlightened Teacher, </w:t>
        <w:br/>
      </w:r>
      <w:r>
        <w:rPr>
          <w:rStyle w:val="HeadNumbers"/>
          <w:rFonts w:ascii="Tahoma" w:hAnsi="Tahoma"/>
          <w:sz w:val="28"/>
          <w:szCs w:val="24"/>
        </w:rPr>
        <w:t xml:space="preserve">9. </w:t>
      </w:r>
      <w:r>
        <w:rPr>
          <w:rFonts w:ascii="Tahoma" w:hAnsi="Tahoma"/>
          <w:sz w:val="28"/>
          <w:szCs w:val="24"/>
        </w:rPr>
        <w:t>the Blessed One.</w:t>
      </w:r>
    </w:p>
    <w:p>
      <w:pPr>
        <w:pStyle w:val="Pali"/>
        <w:bidi w:val="0"/>
        <w:jc w:val="left"/>
        <w:rPr/>
      </w:pPr>
      <w:r>
        <w:rPr>
          <w:rStyle w:val="HeadNumbers"/>
          <w:sz w:val="32"/>
        </w:rPr>
        <w:t xml:space="preserve">1. </w:t>
      </w:r>
      <w:r>
        <w:rPr>
          <w:sz w:val="32"/>
        </w:rPr>
        <w:t xml:space="preserve">Svākkhāto Bhagavatā dhammo, </w:t>
      </w:r>
      <w:r>
        <w:rPr>
          <w:rStyle w:val="HeadNumbers"/>
          <w:sz w:val="32"/>
        </w:rPr>
        <w:t xml:space="preserve">2. </w:t>
      </w:r>
      <w:r>
        <w:rPr>
          <w:sz w:val="32"/>
        </w:rPr>
        <w:t xml:space="preserve">sanditthiko, </w:t>
      </w:r>
      <w:r>
        <w:rPr>
          <w:rStyle w:val="HeadNumbers"/>
          <w:sz w:val="32"/>
        </w:rPr>
        <w:t>3.</w:t>
      </w:r>
      <w:r>
        <w:rPr>
          <w:sz w:val="32"/>
        </w:rPr>
        <w:t xml:space="preserve"> akāliko, </w:t>
        <w:br/>
      </w:r>
      <w:r>
        <w:rPr>
          <w:rStyle w:val="HeadNumbers"/>
          <w:sz w:val="32"/>
        </w:rPr>
        <w:t>4.</w:t>
      </w:r>
      <w:r>
        <w:rPr>
          <w:sz w:val="32"/>
        </w:rPr>
        <w:t xml:space="preserve"> ehipassiko, </w:t>
      </w:r>
      <w:r>
        <w:rPr>
          <w:rStyle w:val="HeadNumbers"/>
          <w:sz w:val="32"/>
        </w:rPr>
        <w:t xml:space="preserve">5. </w:t>
      </w:r>
      <w:r>
        <w:rPr>
          <w:sz w:val="32"/>
        </w:rPr>
        <w:t xml:space="preserve">opanayiko, </w:t>
      </w:r>
      <w:r>
        <w:rPr>
          <w:rStyle w:val="HeadNumbers"/>
          <w:sz w:val="32"/>
        </w:rPr>
        <w:t xml:space="preserve">6. </w:t>
      </w:r>
      <w:r>
        <w:rPr>
          <w:sz w:val="32"/>
        </w:rPr>
        <w:t xml:space="preserve">paccattam vedittabbo viññūhīti. </w:t>
      </w:r>
    </w:p>
    <w:p>
      <w:pPr>
        <w:pStyle w:val="English"/>
        <w:widowControl/>
        <w:overflowPunct w:val="false"/>
        <w:bidi w:val="0"/>
        <w:jc w:val="left"/>
        <w:rPr/>
      </w:pPr>
      <w:r>
        <w:rPr>
          <w:rStyle w:val="HeadNumbers"/>
          <w:rFonts w:eastAsia="NSimSun" w:cs="Lucida Sans" w:ascii="Tahoma" w:hAnsi="Tahoma"/>
          <w:color w:val="auto"/>
          <w:kern w:val="2"/>
          <w:sz w:val="28"/>
          <w:szCs w:val="24"/>
          <w:lang w:val="en-US" w:eastAsia="zh-CN" w:bidi="hi-IN"/>
        </w:rPr>
        <w:t xml:space="preserve">1. Well taught by the Blessed One is the Dhamma, 2. visible here and now, 3. timeless, 4. open to all, 5. learned and applied to oneself, </w:t>
        <w:br/>
        <w:t>6. understood by the wise each for himself.</w:t>
      </w:r>
    </w:p>
    <w:p>
      <w:pPr>
        <w:pStyle w:val="Pali"/>
        <w:bidi w:val="0"/>
        <w:jc w:val="left"/>
        <w:rPr/>
      </w:pPr>
      <w:r>
        <w:rPr>
          <w:rStyle w:val="HeadNumbers"/>
          <w:sz w:val="32"/>
        </w:rPr>
        <w:t xml:space="preserve">1. </w:t>
      </w:r>
      <w:r>
        <w:rPr>
          <w:sz w:val="32"/>
        </w:rPr>
        <w:t>Su-paṭipanno Bhagavato sāvaka-sangho.</w:t>
        <w:br/>
      </w:r>
      <w:r>
        <w:rPr>
          <w:rStyle w:val="HeadNumbers"/>
          <w:sz w:val="32"/>
        </w:rPr>
        <w:t xml:space="preserve">2. </w:t>
      </w:r>
      <w:r>
        <w:rPr>
          <w:sz w:val="32"/>
        </w:rPr>
        <w:t>Uju-paṭipanno Bhagavato sāvaka-sangho.</w:t>
        <w:br/>
      </w:r>
      <w:r>
        <w:rPr>
          <w:rStyle w:val="HeadNumbers"/>
          <w:sz w:val="32"/>
        </w:rPr>
        <w:t xml:space="preserve">3. </w:t>
      </w:r>
      <w:r>
        <w:rPr>
          <w:sz w:val="32"/>
        </w:rPr>
        <w:t>Ñāya-paṭipanno Bhagavato sāvaka-sangho.</w:t>
        <w:br/>
      </w:r>
      <w:r>
        <w:rPr>
          <w:rStyle w:val="HeadNumbers"/>
          <w:sz w:val="32"/>
        </w:rPr>
        <w:t xml:space="preserve">4. </w:t>
      </w:r>
      <w:r>
        <w:rPr>
          <w:sz w:val="32"/>
        </w:rPr>
        <w:t>Sāmīci-paṭipanno Bhagavato sāvaka-sangho.</w:t>
        <w:br/>
        <w:t>Yadidam cattāri purisa-yugāni aṭṭha purisa-puggalā</w:t>
      </w:r>
      <w:r>
        <w:rPr>
          <w:rStyle w:val="Diamond"/>
          <w:w w:val="90"/>
          <w:sz w:val="28"/>
        </w:rPr>
        <w:t xml:space="preserve"> </w:t>
      </w:r>
      <w:r>
        <w:rPr>
          <w:sz w:val="32"/>
        </w:rPr>
        <w:t xml:space="preserve">esa Bhagavato sāvaka-sangho:  </w:t>
      </w:r>
      <w:r>
        <w:rPr>
          <w:rStyle w:val="HeadNumbers"/>
          <w:sz w:val="32"/>
        </w:rPr>
        <w:t xml:space="preserve">5. </w:t>
      </w:r>
      <w:r>
        <w:rPr>
          <w:sz w:val="32"/>
        </w:rPr>
        <w:t xml:space="preserve">āhu-neyyo </w:t>
      </w:r>
      <w:r>
        <w:rPr>
          <w:rStyle w:val="HeadNumbers"/>
          <w:sz w:val="32"/>
        </w:rPr>
        <w:t xml:space="preserve">6. </w:t>
      </w:r>
      <w:r>
        <w:rPr>
          <w:sz w:val="32"/>
        </w:rPr>
        <w:t xml:space="preserve">pāhu-neyyo </w:t>
      </w:r>
      <w:r>
        <w:rPr>
          <w:rStyle w:val="HeadNumbers"/>
          <w:sz w:val="32"/>
        </w:rPr>
        <w:t xml:space="preserve">7. </w:t>
      </w:r>
      <w:r>
        <w:rPr>
          <w:sz w:val="32"/>
        </w:rPr>
        <w:t xml:space="preserve">dakkhi-neyyo </w:t>
        <w:br/>
      </w:r>
      <w:r>
        <w:rPr>
          <w:rStyle w:val="HeadNumbers"/>
          <w:sz w:val="32"/>
        </w:rPr>
        <w:t xml:space="preserve">8. </w:t>
      </w:r>
      <w:r>
        <w:rPr>
          <w:sz w:val="32"/>
        </w:rPr>
        <w:t xml:space="preserve">anjali-karanīyo </w:t>
      </w:r>
      <w:r>
        <w:rPr>
          <w:rStyle w:val="HeadNumbers"/>
          <w:sz w:val="32"/>
        </w:rPr>
        <w:t xml:space="preserve">9. </w:t>
      </w:r>
      <w:r>
        <w:rPr>
          <w:sz w:val="32"/>
        </w:rPr>
        <w:t>anuttaram puññak-khettam lokassā ti.</w:t>
      </w:r>
    </w:p>
    <w:p>
      <w:pPr>
        <w:pStyle w:val="English"/>
        <w:widowControl/>
        <w:overflowPunct w:val="false"/>
        <w:bidi w:val="0"/>
        <w:spacing w:before="0" w:after="120"/>
        <w:jc w:val="left"/>
        <w:rPr/>
      </w:pPr>
      <w:r>
        <w:rPr>
          <w:rStyle w:val="HeadNumbers"/>
          <w:rFonts w:eastAsia="NSimSun" w:cs="Lucida Sans" w:ascii="Tahoma" w:hAnsi="Tahoma"/>
          <w:color w:val="auto"/>
          <w:kern w:val="2"/>
          <w:sz w:val="28"/>
          <w:szCs w:val="24"/>
          <w:lang w:val="en-US" w:eastAsia="zh-CN" w:bidi="hi-IN"/>
        </w:rPr>
        <w:t>1. Of pure conduct is the Order of Disciples of the Blessed One,</w:t>
        <w:br/>
        <w:t>2. of upright conduct is the Order of Disciples of the Blessed One,</w:t>
        <w:br/>
        <w:t>3. of wise conduct is the Order of Disciples of the Blessed One,</w:t>
        <w:br/>
        <w:t xml:space="preserve">4. of generous conduct is the Order of Disciples of the Blessed One. </w:t>
        <w:br/>
        <w:t xml:space="preserve">Those four pairs of persons the eight kinds of individuals: that is the Order of Disciples of the Blessed One. 5. They are worthy of offerings, </w:t>
        <w:br/>
        <w:t>6. they are worthy of hospitality, 7. they are worthy of gifts, 8. they are worthy of reverential salutations, 9. an incomparable field of merit for the world.</w:t>
      </w:r>
    </w:p>
    <w:sectPr>
      <w:type w:val="nextPage"/>
      <w:pgSz w:w="11909" w:h="16834"/>
      <w:pgMar w:left="1450" w:right="1131" w:gutter="0" w:header="0" w:top="888" w:footer="0" w:bottom="70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Segoe UI Symbol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mbria" w:hAnsi="Cambria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40" w:after="320"/>
      <w:outlineLvl w:val="1"/>
    </w:pPr>
    <w:rPr>
      <w:rFonts w:ascii="Times New Roman" w:hAnsi="Times New Roman" w:eastAsia="DejaVu Sans" w:cs="DejaVu Sans" w:cstheme="majorBidi" w:eastAsiaTheme="majorEastAsia"/>
      <w:w w:val="90"/>
      <w:sz w:val="36"/>
      <w:szCs w:val="26"/>
    </w:rPr>
  </w:style>
  <w:style w:type="character" w:styleId="DefaultParagraphFont">
    <w:name w:val="Default Paragraph Font"/>
    <w:qFormat/>
    <w:rPr/>
  </w:style>
  <w:style w:type="character" w:styleId="HeadNumbers">
    <w:name w:val="headNumbers"/>
    <w:basedOn w:val="DefaultParagraphFont"/>
    <w:qFormat/>
    <w:rPr>
      <w:sz w:val="24"/>
    </w:rPr>
  </w:style>
  <w:style w:type="character" w:styleId="Diamond">
    <w:name w:val="diamond"/>
    <w:basedOn w:val="DefaultParagraphFont"/>
    <w:qFormat/>
    <w:rPr>
      <w:rFonts w:ascii="Segoe UI Symbol" w:hAnsi="Segoe UI Symbol" w:cs="Segoe UI Symbol"/>
      <w:sz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mbria" w:hAnsi="Cambri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mbria" w:hAnsi="Cambria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mbria" w:hAnsi="Cambria" w:cs="Lucida Sans"/>
    </w:rPr>
  </w:style>
  <w:style w:type="paragraph" w:styleId="English">
    <w:name w:val="English"/>
    <w:basedOn w:val="Normal"/>
    <w:qFormat/>
    <w:pPr>
      <w:suppressAutoHyphens w:val="true"/>
      <w:spacing w:lineRule="auto" w:line="276" w:before="0" w:after="120"/>
    </w:pPr>
    <w:rPr>
      <w:rFonts w:ascii="Arial" w:hAnsi="Arial" w:asciiTheme="majorHAnsi" w:hAnsiTheme="majorHAnsi"/>
    </w:rPr>
  </w:style>
  <w:style w:type="paragraph" w:styleId="Pali">
    <w:name w:val="Pali"/>
    <w:basedOn w:val="Normal"/>
    <w:qFormat/>
    <w:pPr>
      <w:spacing w:lineRule="auto" w:line="288" w:before="0" w:after="120"/>
    </w:pPr>
    <w:rPr/>
  </w:style>
  <w:style w:type="paragraph" w:styleId="Explaination">
    <w:name w:val="Explaination"/>
    <w:basedOn w:val="Normal"/>
    <w:qFormat/>
    <w:pPr>
      <w:ind w:hanging="0" w:left="864" w:right="864"/>
    </w:pPr>
    <w:rPr>
      <w:rFonts w:ascii="Times New Roman" w:hAnsi="Times New Roman"/>
      <w:i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Default-A4</Template>
  <TotalTime>4374</TotalTime>
  <Application>LibreOffice/24.2.2.2$Windows_X86_64 LibreOffice_project/d56cc158d8a96260b836f100ef4b4ef25d6f1a01</Application>
  <AppVersion>15.0000</AppVersion>
  <Pages>1</Pages>
  <Words>273</Words>
  <Characters>1459</Characters>
  <CharactersWithSpaces>1737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2024-03-02T18:27:43Z</dcterms:created>
  <dc:creator/>
  <dc:description/>
  <dc:language>en-US</dc:language>
  <cp:lastModifiedBy/>
  <cp:lastPrinted>2024-10-09T07:37:44Z</cp:lastPrinted>
  <dcterms:modified xsi:type="dcterms:W3CDTF">2024-10-09T07:38:14Z</dcterms:modified>
  <cp:revision>8</cp:revision>
  <dc:subject/>
  <dc:title>Qualities of the Triple Gem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